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8" w:space="0" w:color="123F50"/>
          <w:left w:val="single" w:sz="8" w:space="0" w:color="123F50"/>
          <w:bottom w:val="single" w:sz="8" w:space="0" w:color="123F50"/>
          <w:right w:val="single" w:sz="8" w:space="0" w:color="123F50"/>
          <w:insideH w:val="single" w:sz="8" w:space="0" w:color="123F50"/>
          <w:insideV w:val="single" w:sz="8" w:space="0" w:color="123F50"/>
        </w:tblBorders>
        <w:tblLayout w:type="fixed"/>
        <w:tblLook w:val="04A0" w:firstRow="1" w:lastRow="0" w:firstColumn="1" w:lastColumn="0" w:noHBand="0" w:noVBand="1"/>
      </w:tblPr>
      <w:tblGrid>
        <w:gridCol w:w="10657"/>
        <w:gridCol w:w="6"/>
      </w:tblGrid>
      <w:tr w:rsidR="00072F38" w14:paraId="55BF1EBC" w14:textId="77777777" w:rsidTr="007C3340">
        <w:trPr>
          <w:gridAfter w:val="1"/>
          <w:wAfter w:w="6" w:type="dxa"/>
          <w:jc w:val="center"/>
        </w:trPr>
        <w:tc>
          <w:tcPr>
            <w:tcW w:w="10657" w:type="dxa"/>
            <w:shd w:val="clear" w:color="auto" w:fill="164E63"/>
            <w:tcMar>
              <w:top w:w="150" w:type="dxa"/>
              <w:left w:w="160" w:type="dxa"/>
              <w:bottom w:w="120" w:type="dxa"/>
              <w:right w:w="160" w:type="dxa"/>
            </w:tcMar>
          </w:tcPr>
          <w:p w14:paraId="621DFE3A" w14:textId="0A07F7CE" w:rsidR="00072F38" w:rsidRDefault="00000000">
            <w:pPr>
              <w:spacing w:after="40" w:line="240" w:lineRule="auto"/>
            </w:pPr>
            <w:r>
              <w:rPr>
                <w:b/>
                <w:color w:val="FFFFFF"/>
                <w:sz w:val="40"/>
              </w:rPr>
              <w:t>PF v2.0 Facilitation Guide</w:t>
            </w:r>
            <w:r w:rsidR="00F5431F">
              <w:rPr>
                <w:b/>
                <w:color w:val="FFFFFF"/>
                <w:sz w:val="40"/>
              </w:rPr>
              <w:t xml:space="preserve"> </w:t>
            </w:r>
            <w:r w:rsidR="00F5431F" w:rsidRPr="007C3340">
              <w:rPr>
                <w:b/>
                <w:color w:val="FFFFFF"/>
                <w:sz w:val="40"/>
                <w:vertAlign w:val="subscript"/>
              </w:rPr>
              <w:t>(v1.0)</w:t>
            </w:r>
          </w:p>
          <w:p w14:paraId="33AED8C7" w14:textId="77777777" w:rsidR="00072F38" w:rsidRDefault="00000000">
            <w:pPr>
              <w:spacing w:after="0" w:line="259" w:lineRule="auto"/>
            </w:pPr>
            <w:r>
              <w:rPr>
                <w:color w:val="E9F4F6"/>
                <w:sz w:val="20"/>
              </w:rPr>
              <w:t>Brief worksheet for running a PF session without turning it into a scorecard.</w:t>
            </w:r>
          </w:p>
        </w:tc>
      </w:tr>
      <w:tr w:rsidR="00072F38" w14:paraId="62253D71" w14:textId="77777777" w:rsidTr="007C3340">
        <w:tblPrEx>
          <w:tblBorders>
            <w:top w:val="single" w:sz="8" w:space="0" w:color="E8E2D6"/>
            <w:left w:val="single" w:sz="8" w:space="0" w:color="E8E2D6"/>
            <w:bottom w:val="single" w:sz="8" w:space="0" w:color="E8E2D6"/>
            <w:right w:val="single" w:sz="8" w:space="0" w:color="E8E2D6"/>
            <w:insideH w:val="single" w:sz="8" w:space="0" w:color="E8E2D6"/>
            <w:insideV w:val="single" w:sz="8" w:space="0" w:color="E8E2D6"/>
          </w:tblBorders>
        </w:tblPrEx>
        <w:trPr>
          <w:jc w:val="center"/>
        </w:trPr>
        <w:tc>
          <w:tcPr>
            <w:tcW w:w="10663" w:type="dxa"/>
            <w:gridSpan w:val="2"/>
            <w:shd w:val="clear" w:color="auto" w:fill="F7F3EA"/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200B0756" w14:textId="77777777" w:rsidR="00072F38" w:rsidRDefault="00000000">
            <w:pPr>
              <w:spacing w:after="0"/>
            </w:pPr>
            <w:r>
              <w:rPr>
                <w:b/>
                <w:color w:val="8A5A12"/>
              </w:rPr>
              <w:t xml:space="preserve">Use posture: </w:t>
            </w:r>
            <w:r>
              <w:t>Remind participants that PF is a compass, not a scorecard. These examples can be adapted to available time and goals, not preferred or approved formats.</w:t>
            </w:r>
          </w:p>
        </w:tc>
      </w:tr>
    </w:tbl>
    <w:p w14:paraId="49B2F1AA" w14:textId="77777777" w:rsidR="00072F38" w:rsidRPr="00C343B9" w:rsidRDefault="00000000">
      <w:pPr>
        <w:spacing w:before="100" w:after="80"/>
        <w:rPr>
          <w:sz w:val="22"/>
          <w:szCs w:val="28"/>
        </w:rPr>
      </w:pPr>
      <w:r w:rsidRPr="00C343B9">
        <w:rPr>
          <w:b/>
          <w:color w:val="164E63"/>
          <w:sz w:val="20"/>
          <w:szCs w:val="28"/>
        </w:rPr>
        <w:t>1. SESSION BOUNDARY</w:t>
      </w:r>
    </w:p>
    <w:tbl>
      <w:tblPr>
        <w:tblW w:w="0" w:type="auto"/>
        <w:jc w:val="center"/>
        <w:tblBorders>
          <w:top w:val="single" w:sz="7" w:space="0" w:color="E8E2D6"/>
          <w:left w:val="single" w:sz="7" w:space="0" w:color="E8E2D6"/>
          <w:bottom w:val="single" w:sz="7" w:space="0" w:color="E8E2D6"/>
          <w:right w:val="single" w:sz="7" w:space="0" w:color="E8E2D6"/>
          <w:insideH w:val="single" w:sz="7" w:space="0" w:color="E8E2D6"/>
          <w:insideV w:val="single" w:sz="7" w:space="0" w:color="E8E2D6"/>
        </w:tblBorders>
        <w:tblLayout w:type="fixed"/>
        <w:tblLook w:val="04A0" w:firstRow="1" w:lastRow="0" w:firstColumn="1" w:lastColumn="0" w:noHBand="0" w:noVBand="1"/>
      </w:tblPr>
      <w:tblGrid>
        <w:gridCol w:w="5306"/>
        <w:gridCol w:w="5306"/>
      </w:tblGrid>
      <w:tr w:rsidR="00072F38" w:rsidRPr="00C343B9" w14:paraId="51FE4004" w14:textId="77777777">
        <w:trPr>
          <w:trHeight w:val="400"/>
          <w:jc w:val="center"/>
        </w:trPr>
        <w:tc>
          <w:tcPr>
            <w:tcW w:w="5306" w:type="dxa"/>
            <w:shd w:val="clear" w:color="auto" w:fill="FFFFFF"/>
            <w:tcMar>
              <w:top w:w="60" w:type="dxa"/>
              <w:left w:w="70" w:type="dxa"/>
              <w:bottom w:w="45" w:type="dxa"/>
              <w:right w:w="70" w:type="dxa"/>
            </w:tcMar>
          </w:tcPr>
          <w:p w14:paraId="70EDE9E3" w14:textId="77777777" w:rsidR="00072F38" w:rsidRPr="00C343B9" w:rsidRDefault="00000000">
            <w:pPr>
              <w:spacing w:after="0" w:line="259" w:lineRule="auto"/>
              <w:rPr>
                <w:sz w:val="22"/>
                <w:szCs w:val="28"/>
              </w:rPr>
            </w:pPr>
            <w:r w:rsidRPr="00C343B9">
              <w:rPr>
                <w:b/>
                <w:color w:val="123F50"/>
                <w:sz w:val="20"/>
                <w:szCs w:val="28"/>
              </w:rPr>
              <w:t>Session / case:</w:t>
            </w:r>
          </w:p>
          <w:p w14:paraId="72328F37" w14:textId="77777777" w:rsidR="00072F38" w:rsidRPr="00C343B9" w:rsidRDefault="00000000">
            <w:pPr>
              <w:spacing w:after="0" w:line="240" w:lineRule="auto"/>
              <w:rPr>
                <w:sz w:val="22"/>
                <w:szCs w:val="28"/>
              </w:rPr>
            </w:pPr>
            <w:r w:rsidRPr="007C3340">
              <w:rPr>
                <w:color w:val="BFBFBF" w:themeColor="background1" w:themeShade="BF"/>
                <w:szCs w:val="28"/>
              </w:rPr>
              <w:t>____________________________________</w:t>
            </w:r>
          </w:p>
        </w:tc>
        <w:tc>
          <w:tcPr>
            <w:tcW w:w="5306" w:type="dxa"/>
            <w:shd w:val="clear" w:color="auto" w:fill="F7F3EA"/>
            <w:tcMar>
              <w:top w:w="60" w:type="dxa"/>
              <w:left w:w="70" w:type="dxa"/>
              <w:bottom w:w="45" w:type="dxa"/>
              <w:right w:w="70" w:type="dxa"/>
            </w:tcMar>
          </w:tcPr>
          <w:p w14:paraId="18AD2499" w14:textId="77777777" w:rsidR="00072F38" w:rsidRPr="00C343B9" w:rsidRDefault="00000000">
            <w:pPr>
              <w:spacing w:after="0" w:line="259" w:lineRule="auto"/>
              <w:rPr>
                <w:sz w:val="22"/>
                <w:szCs w:val="28"/>
              </w:rPr>
            </w:pPr>
            <w:r w:rsidRPr="00C343B9">
              <w:rPr>
                <w:b/>
                <w:color w:val="123F50"/>
                <w:sz w:val="20"/>
                <w:szCs w:val="28"/>
              </w:rPr>
              <w:t>Date / period:</w:t>
            </w:r>
          </w:p>
          <w:p w14:paraId="4561BF8C" w14:textId="77777777" w:rsidR="00072F38" w:rsidRPr="00C343B9" w:rsidRDefault="00000000">
            <w:pPr>
              <w:spacing w:after="0" w:line="240" w:lineRule="auto"/>
              <w:rPr>
                <w:sz w:val="22"/>
                <w:szCs w:val="28"/>
              </w:rPr>
            </w:pPr>
            <w:r w:rsidRPr="007C3340">
              <w:rPr>
                <w:color w:val="BFBFBF" w:themeColor="background1" w:themeShade="BF"/>
                <w:szCs w:val="28"/>
              </w:rPr>
              <w:t>____________________________________</w:t>
            </w:r>
          </w:p>
        </w:tc>
      </w:tr>
      <w:tr w:rsidR="00072F38" w:rsidRPr="00C343B9" w14:paraId="299DFC56" w14:textId="77777777">
        <w:trPr>
          <w:trHeight w:val="400"/>
          <w:jc w:val="center"/>
        </w:trPr>
        <w:tc>
          <w:tcPr>
            <w:tcW w:w="5306" w:type="dxa"/>
            <w:shd w:val="clear" w:color="auto" w:fill="F7F3EA"/>
            <w:tcMar>
              <w:top w:w="60" w:type="dxa"/>
              <w:left w:w="70" w:type="dxa"/>
              <w:bottom w:w="45" w:type="dxa"/>
              <w:right w:w="70" w:type="dxa"/>
            </w:tcMar>
          </w:tcPr>
          <w:p w14:paraId="21EAB159" w14:textId="77777777" w:rsidR="00072F38" w:rsidRPr="00C343B9" w:rsidRDefault="00000000">
            <w:pPr>
              <w:spacing w:after="0" w:line="259" w:lineRule="auto"/>
              <w:rPr>
                <w:sz w:val="22"/>
                <w:szCs w:val="28"/>
              </w:rPr>
            </w:pPr>
            <w:r w:rsidRPr="00C343B9">
              <w:rPr>
                <w:b/>
                <w:color w:val="123F50"/>
                <w:sz w:val="20"/>
                <w:szCs w:val="28"/>
              </w:rPr>
              <w:t>Facilitator / role(s):</w:t>
            </w:r>
          </w:p>
          <w:p w14:paraId="43A25948" w14:textId="77777777" w:rsidR="00072F38" w:rsidRPr="00C343B9" w:rsidRDefault="00000000">
            <w:pPr>
              <w:spacing w:after="0" w:line="240" w:lineRule="auto"/>
              <w:rPr>
                <w:sz w:val="22"/>
                <w:szCs w:val="28"/>
              </w:rPr>
            </w:pPr>
            <w:r w:rsidRPr="007C3340">
              <w:rPr>
                <w:color w:val="BFBFBF" w:themeColor="background1" w:themeShade="BF"/>
                <w:szCs w:val="28"/>
              </w:rPr>
              <w:t>____________________________________</w:t>
            </w:r>
          </w:p>
        </w:tc>
        <w:tc>
          <w:tcPr>
            <w:tcW w:w="5306" w:type="dxa"/>
            <w:shd w:val="clear" w:color="auto" w:fill="FFFFFF"/>
            <w:tcMar>
              <w:top w:w="60" w:type="dxa"/>
              <w:left w:w="70" w:type="dxa"/>
              <w:bottom w:w="45" w:type="dxa"/>
              <w:right w:w="70" w:type="dxa"/>
            </w:tcMar>
          </w:tcPr>
          <w:p w14:paraId="4647F09A" w14:textId="77777777" w:rsidR="00072F38" w:rsidRPr="00C343B9" w:rsidRDefault="00000000">
            <w:pPr>
              <w:spacing w:after="0" w:line="259" w:lineRule="auto"/>
              <w:rPr>
                <w:sz w:val="22"/>
                <w:szCs w:val="28"/>
              </w:rPr>
            </w:pPr>
            <w:r w:rsidRPr="00C343B9">
              <w:rPr>
                <w:b/>
                <w:color w:val="123F50"/>
                <w:sz w:val="20"/>
                <w:szCs w:val="28"/>
              </w:rPr>
              <w:t>Session type: short / working / review</w:t>
            </w:r>
          </w:p>
          <w:p w14:paraId="50E62ECB" w14:textId="77777777" w:rsidR="00072F38" w:rsidRPr="00C343B9" w:rsidRDefault="00000000">
            <w:pPr>
              <w:spacing w:after="0" w:line="240" w:lineRule="auto"/>
              <w:rPr>
                <w:sz w:val="22"/>
                <w:szCs w:val="28"/>
              </w:rPr>
            </w:pPr>
            <w:r w:rsidRPr="007C3340">
              <w:rPr>
                <w:color w:val="BFBFBF" w:themeColor="background1" w:themeShade="BF"/>
                <w:szCs w:val="28"/>
              </w:rPr>
              <w:t>____________________________________</w:t>
            </w:r>
          </w:p>
        </w:tc>
      </w:tr>
    </w:tbl>
    <w:p w14:paraId="2CE639DF" w14:textId="77777777" w:rsidR="00072F38" w:rsidRPr="00C343B9" w:rsidRDefault="00000000">
      <w:pPr>
        <w:spacing w:before="100" w:after="80"/>
        <w:rPr>
          <w:sz w:val="22"/>
          <w:szCs w:val="28"/>
        </w:rPr>
      </w:pPr>
      <w:r w:rsidRPr="00C343B9">
        <w:rPr>
          <w:b/>
          <w:color w:val="164E63"/>
          <w:sz w:val="20"/>
          <w:szCs w:val="28"/>
        </w:rPr>
        <w:t>2. CHOOSE ONE SESSION SHAPE</w:t>
      </w:r>
    </w:p>
    <w:tbl>
      <w:tblPr>
        <w:tblW w:w="0" w:type="auto"/>
        <w:jc w:val="center"/>
        <w:tblBorders>
          <w:top w:val="single" w:sz="7" w:space="0" w:color="E8E2D6"/>
          <w:left w:val="single" w:sz="7" w:space="0" w:color="E8E2D6"/>
          <w:bottom w:val="single" w:sz="7" w:space="0" w:color="E8E2D6"/>
          <w:right w:val="single" w:sz="7" w:space="0" w:color="E8E2D6"/>
          <w:insideH w:val="single" w:sz="7" w:space="0" w:color="E8E2D6"/>
          <w:insideV w:val="single" w:sz="7" w:space="0" w:color="E8E2D6"/>
        </w:tblBorders>
        <w:tblLayout w:type="fixed"/>
        <w:tblLook w:val="04A0" w:firstRow="1" w:lastRow="0" w:firstColumn="1" w:lastColumn="0" w:noHBand="0" w:noVBand="1"/>
      </w:tblPr>
      <w:tblGrid>
        <w:gridCol w:w="3538"/>
        <w:gridCol w:w="3538"/>
        <w:gridCol w:w="3538"/>
      </w:tblGrid>
      <w:tr w:rsidR="00072F38" w:rsidRPr="00C343B9" w14:paraId="5352A3EF" w14:textId="77777777">
        <w:trPr>
          <w:jc w:val="center"/>
        </w:trPr>
        <w:tc>
          <w:tcPr>
            <w:tcW w:w="3538" w:type="dxa"/>
            <w:shd w:val="clear" w:color="auto" w:fill="123F50"/>
            <w:tcMar>
              <w:top w:w="60" w:type="dxa"/>
              <w:left w:w="50" w:type="dxa"/>
              <w:bottom w:w="60" w:type="dxa"/>
              <w:right w:w="50" w:type="dxa"/>
            </w:tcMar>
          </w:tcPr>
          <w:p w14:paraId="1746F68F" w14:textId="77777777" w:rsidR="00072F38" w:rsidRPr="00C343B9" w:rsidRDefault="00000000">
            <w:pPr>
              <w:spacing w:after="0" w:line="259" w:lineRule="auto"/>
              <w:jc w:val="center"/>
              <w:rPr>
                <w:sz w:val="22"/>
                <w:szCs w:val="28"/>
              </w:rPr>
            </w:pPr>
            <w:r w:rsidRPr="00C343B9">
              <w:rPr>
                <w:b/>
                <w:color w:val="FFFFFF"/>
                <w:sz w:val="20"/>
                <w:szCs w:val="28"/>
              </w:rPr>
              <w:t>Short session (20-30 min)</w:t>
            </w:r>
          </w:p>
        </w:tc>
        <w:tc>
          <w:tcPr>
            <w:tcW w:w="3538" w:type="dxa"/>
            <w:shd w:val="clear" w:color="auto" w:fill="123F50"/>
            <w:tcMar>
              <w:top w:w="60" w:type="dxa"/>
              <w:left w:w="50" w:type="dxa"/>
              <w:bottom w:w="60" w:type="dxa"/>
              <w:right w:w="50" w:type="dxa"/>
            </w:tcMar>
          </w:tcPr>
          <w:p w14:paraId="186D778F" w14:textId="77777777" w:rsidR="00072F38" w:rsidRPr="00C343B9" w:rsidRDefault="00000000">
            <w:pPr>
              <w:spacing w:after="0" w:line="259" w:lineRule="auto"/>
              <w:jc w:val="center"/>
              <w:rPr>
                <w:sz w:val="22"/>
                <w:szCs w:val="28"/>
              </w:rPr>
            </w:pPr>
            <w:r w:rsidRPr="00C343B9">
              <w:rPr>
                <w:b/>
                <w:color w:val="FFFFFF"/>
                <w:sz w:val="20"/>
                <w:szCs w:val="28"/>
              </w:rPr>
              <w:t>Working session (45-60 min)</w:t>
            </w:r>
          </w:p>
        </w:tc>
        <w:tc>
          <w:tcPr>
            <w:tcW w:w="3538" w:type="dxa"/>
            <w:shd w:val="clear" w:color="auto" w:fill="123F50"/>
            <w:tcMar>
              <w:top w:w="60" w:type="dxa"/>
              <w:left w:w="50" w:type="dxa"/>
              <w:bottom w:w="60" w:type="dxa"/>
              <w:right w:w="50" w:type="dxa"/>
            </w:tcMar>
          </w:tcPr>
          <w:p w14:paraId="3A9077D9" w14:textId="77777777" w:rsidR="00072F38" w:rsidRPr="00C343B9" w:rsidRDefault="00000000">
            <w:pPr>
              <w:spacing w:after="0" w:line="259" w:lineRule="auto"/>
              <w:jc w:val="center"/>
              <w:rPr>
                <w:sz w:val="22"/>
                <w:szCs w:val="28"/>
              </w:rPr>
            </w:pPr>
            <w:r w:rsidRPr="00C343B9">
              <w:rPr>
                <w:b/>
                <w:color w:val="FFFFFF"/>
                <w:sz w:val="20"/>
                <w:szCs w:val="28"/>
              </w:rPr>
              <w:t>Review session (60-90 min)</w:t>
            </w:r>
          </w:p>
        </w:tc>
      </w:tr>
      <w:tr w:rsidR="00072F38" w:rsidRPr="00C343B9" w14:paraId="1A2B39AD" w14:textId="77777777">
        <w:trPr>
          <w:jc w:val="center"/>
        </w:trPr>
        <w:tc>
          <w:tcPr>
            <w:tcW w:w="3538" w:type="dxa"/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467FB71" w14:textId="77777777" w:rsidR="00072F38" w:rsidRPr="00C343B9" w:rsidRDefault="00000000">
            <w:pPr>
              <w:spacing w:after="0" w:line="259" w:lineRule="auto"/>
              <w:rPr>
                <w:sz w:val="22"/>
                <w:szCs w:val="28"/>
              </w:rPr>
            </w:pPr>
            <w:r w:rsidRPr="00C343B9">
              <w:rPr>
                <w:szCs w:val="28"/>
              </w:rPr>
              <w:t>3-minute orientation: PF is a compass, not a scorecard.</w:t>
            </w:r>
          </w:p>
        </w:tc>
        <w:tc>
          <w:tcPr>
            <w:tcW w:w="3538" w:type="dxa"/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425DBF1" w14:textId="77777777" w:rsidR="00072F38" w:rsidRPr="00C343B9" w:rsidRDefault="00000000">
            <w:pPr>
              <w:spacing w:after="0" w:line="259" w:lineRule="auto"/>
              <w:rPr>
                <w:sz w:val="22"/>
                <w:szCs w:val="28"/>
              </w:rPr>
            </w:pPr>
            <w:r w:rsidRPr="00C343B9">
              <w:rPr>
                <w:szCs w:val="28"/>
              </w:rPr>
              <w:t>Brief orientation.</w:t>
            </w:r>
          </w:p>
        </w:tc>
        <w:tc>
          <w:tcPr>
            <w:tcW w:w="3538" w:type="dxa"/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B7387BC" w14:textId="77777777" w:rsidR="00072F38" w:rsidRPr="00C343B9" w:rsidRDefault="00000000">
            <w:pPr>
              <w:spacing w:after="0" w:line="259" w:lineRule="auto"/>
              <w:rPr>
                <w:sz w:val="22"/>
                <w:szCs w:val="28"/>
              </w:rPr>
            </w:pPr>
            <w:r w:rsidRPr="00C343B9">
              <w:rPr>
                <w:szCs w:val="28"/>
              </w:rPr>
              <w:t>Read an existing record or case.</w:t>
            </w:r>
          </w:p>
        </w:tc>
      </w:tr>
      <w:tr w:rsidR="00072F38" w:rsidRPr="00C343B9" w14:paraId="512983E6" w14:textId="77777777">
        <w:trPr>
          <w:jc w:val="center"/>
        </w:trPr>
        <w:tc>
          <w:tcPr>
            <w:tcW w:w="3538" w:type="dxa"/>
            <w:shd w:val="clear" w:color="auto" w:fill="F7F3E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750576D" w14:textId="77777777" w:rsidR="00072F38" w:rsidRPr="00C343B9" w:rsidRDefault="00000000">
            <w:pPr>
              <w:spacing w:after="0" w:line="259" w:lineRule="auto"/>
              <w:rPr>
                <w:sz w:val="22"/>
                <w:szCs w:val="28"/>
              </w:rPr>
            </w:pPr>
            <w:r w:rsidRPr="00C343B9">
              <w:rPr>
                <w:szCs w:val="28"/>
              </w:rPr>
              <w:t>7-minute architecture drill on a compact case.</w:t>
            </w:r>
          </w:p>
        </w:tc>
        <w:tc>
          <w:tcPr>
            <w:tcW w:w="3538" w:type="dxa"/>
            <w:shd w:val="clear" w:color="auto" w:fill="F7F3E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0369F34" w14:textId="77777777" w:rsidR="00072F38" w:rsidRPr="00C343B9" w:rsidRDefault="00000000">
            <w:pPr>
              <w:spacing w:after="0" w:line="259" w:lineRule="auto"/>
              <w:rPr>
                <w:sz w:val="22"/>
                <w:szCs w:val="28"/>
              </w:rPr>
            </w:pPr>
            <w:r w:rsidRPr="00C343B9">
              <w:rPr>
                <w:szCs w:val="28"/>
              </w:rPr>
              <w:t>Compatibility checklist pass using Appendix B.</w:t>
            </w:r>
            <w:r w:rsidRPr="00C343B9">
              <w:rPr>
                <w:szCs w:val="28"/>
              </w:rPr>
              <w:br/>
              <w:t>Small-group decision-record draft using Appendix C.</w:t>
            </w:r>
          </w:p>
        </w:tc>
        <w:tc>
          <w:tcPr>
            <w:tcW w:w="3538" w:type="dxa"/>
            <w:shd w:val="clear" w:color="auto" w:fill="F7F3E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A8666FB" w14:textId="77777777" w:rsidR="00072F38" w:rsidRPr="00C343B9" w:rsidRDefault="00000000">
            <w:pPr>
              <w:spacing w:after="0" w:line="259" w:lineRule="auto"/>
              <w:rPr>
                <w:sz w:val="22"/>
                <w:szCs w:val="28"/>
              </w:rPr>
            </w:pPr>
            <w:r w:rsidRPr="00C343B9">
              <w:rPr>
                <w:szCs w:val="28"/>
              </w:rPr>
              <w:t>Run responsibility-map and misuse-resistance drills.</w:t>
            </w:r>
            <w:r w:rsidRPr="00C343B9">
              <w:rPr>
                <w:szCs w:val="28"/>
              </w:rPr>
              <w:br/>
              <w:t>Add dissent and revisit entries.</w:t>
            </w:r>
          </w:p>
        </w:tc>
      </w:tr>
      <w:tr w:rsidR="00072F38" w:rsidRPr="00C343B9" w14:paraId="6812B40F" w14:textId="77777777">
        <w:trPr>
          <w:jc w:val="center"/>
        </w:trPr>
        <w:tc>
          <w:tcPr>
            <w:tcW w:w="3538" w:type="dxa"/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0B5EACB" w14:textId="77777777" w:rsidR="00072F38" w:rsidRPr="00C343B9" w:rsidRDefault="00000000">
            <w:pPr>
              <w:spacing w:after="0" w:line="259" w:lineRule="auto"/>
              <w:rPr>
                <w:sz w:val="22"/>
                <w:szCs w:val="28"/>
              </w:rPr>
            </w:pPr>
            <w:r w:rsidRPr="00C343B9">
              <w:rPr>
                <w:szCs w:val="28"/>
              </w:rPr>
              <w:t>10-minute three-lens scan or options-set drill.</w:t>
            </w:r>
            <w:r w:rsidRPr="00C343B9">
              <w:rPr>
                <w:szCs w:val="28"/>
              </w:rPr>
              <w:br/>
              <w:t>5-minute reflection: what became more visible, and what still feels under-described?</w:t>
            </w:r>
          </w:p>
        </w:tc>
        <w:tc>
          <w:tcPr>
            <w:tcW w:w="3538" w:type="dxa"/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DFD383A" w14:textId="77777777" w:rsidR="00072F38" w:rsidRPr="00C343B9" w:rsidRDefault="00000000">
            <w:pPr>
              <w:spacing w:after="0" w:line="259" w:lineRule="auto"/>
              <w:rPr>
                <w:sz w:val="22"/>
                <w:szCs w:val="28"/>
              </w:rPr>
            </w:pPr>
            <w:r w:rsidRPr="00C343B9">
              <w:rPr>
                <w:szCs w:val="28"/>
              </w:rPr>
              <w:t>Whole-group comparison: where did judgments diverge, and why?</w:t>
            </w:r>
            <w:r w:rsidRPr="00C343B9">
              <w:rPr>
                <w:szCs w:val="28"/>
              </w:rPr>
              <w:br/>
              <w:t>Closing note on what would trigger revisit.</w:t>
            </w:r>
          </w:p>
        </w:tc>
        <w:tc>
          <w:tcPr>
            <w:tcW w:w="3538" w:type="dxa"/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662D1AE" w14:textId="77777777" w:rsidR="00072F38" w:rsidRPr="00C343B9" w:rsidRDefault="00000000">
            <w:pPr>
              <w:spacing w:after="0" w:line="259" w:lineRule="auto"/>
              <w:rPr>
                <w:sz w:val="22"/>
                <w:szCs w:val="28"/>
              </w:rPr>
            </w:pPr>
            <w:r w:rsidRPr="00C343B9">
              <w:rPr>
                <w:szCs w:val="28"/>
              </w:rPr>
              <w:t>End with one process change that would improve answerability next time.</w:t>
            </w:r>
          </w:p>
        </w:tc>
      </w:tr>
    </w:tbl>
    <w:p w14:paraId="309297F7" w14:textId="77777777" w:rsidR="00072F38" w:rsidRPr="00C343B9" w:rsidRDefault="00000000">
      <w:pPr>
        <w:spacing w:before="100" w:after="80"/>
        <w:rPr>
          <w:sz w:val="22"/>
          <w:szCs w:val="28"/>
        </w:rPr>
      </w:pPr>
      <w:r w:rsidRPr="00C343B9">
        <w:rPr>
          <w:b/>
          <w:color w:val="164E63"/>
          <w:sz w:val="20"/>
          <w:szCs w:val="28"/>
        </w:rPr>
        <w:t>3. KEEP LEARNING VISIBLE</w:t>
      </w:r>
    </w:p>
    <w:tbl>
      <w:tblPr>
        <w:tblW w:w="0" w:type="auto"/>
        <w:jc w:val="center"/>
        <w:tblBorders>
          <w:top w:val="single" w:sz="7" w:space="0" w:color="E8E2D6"/>
          <w:left w:val="single" w:sz="7" w:space="0" w:color="E8E2D6"/>
          <w:bottom w:val="single" w:sz="7" w:space="0" w:color="E8E2D6"/>
          <w:right w:val="single" w:sz="7" w:space="0" w:color="E8E2D6"/>
          <w:insideH w:val="single" w:sz="7" w:space="0" w:color="E8E2D6"/>
          <w:insideV w:val="single" w:sz="7" w:space="0" w:color="E8E2D6"/>
        </w:tblBorders>
        <w:tblLayout w:type="fixed"/>
        <w:tblLook w:val="04A0" w:firstRow="1" w:lastRow="0" w:firstColumn="1" w:lastColumn="0" w:noHBand="0" w:noVBand="1"/>
      </w:tblPr>
      <w:tblGrid>
        <w:gridCol w:w="3538"/>
        <w:gridCol w:w="3538"/>
        <w:gridCol w:w="3538"/>
      </w:tblGrid>
      <w:tr w:rsidR="00072F38" w:rsidRPr="00C343B9" w14:paraId="5FEEF159" w14:textId="77777777">
        <w:trPr>
          <w:trHeight w:val="520"/>
          <w:jc w:val="center"/>
        </w:trPr>
        <w:tc>
          <w:tcPr>
            <w:tcW w:w="3538" w:type="dxa"/>
            <w:shd w:val="clear" w:color="auto" w:fill="EAF3F4"/>
            <w:tcMar>
              <w:top w:w="55" w:type="dxa"/>
              <w:left w:w="55" w:type="dxa"/>
              <w:bottom w:w="50" w:type="dxa"/>
              <w:right w:w="55" w:type="dxa"/>
            </w:tcMar>
          </w:tcPr>
          <w:p w14:paraId="02DCA385" w14:textId="77777777" w:rsidR="00072F38" w:rsidRPr="00C343B9" w:rsidRDefault="00000000">
            <w:pPr>
              <w:spacing w:after="40"/>
              <w:rPr>
                <w:sz w:val="22"/>
                <w:szCs w:val="28"/>
              </w:rPr>
            </w:pPr>
            <w:r w:rsidRPr="00C343B9">
              <w:rPr>
                <w:b/>
                <w:color w:val="123F50"/>
                <w:sz w:val="20"/>
                <w:szCs w:val="28"/>
              </w:rPr>
              <w:t>Practice log</w:t>
            </w:r>
          </w:p>
          <w:p w14:paraId="6579CF0D" w14:textId="77777777" w:rsidR="00072F38" w:rsidRPr="00C343B9" w:rsidRDefault="00000000">
            <w:pPr>
              <w:spacing w:after="0" w:line="252" w:lineRule="auto"/>
              <w:rPr>
                <w:sz w:val="22"/>
                <w:szCs w:val="28"/>
              </w:rPr>
            </w:pPr>
            <w:r w:rsidRPr="00C343B9">
              <w:rPr>
                <w:color w:val="5B5750"/>
                <w:szCs w:val="28"/>
              </w:rPr>
              <w:t>A short record of cases used, what posture was being trained, and what drift patterns showed up.</w:t>
            </w:r>
          </w:p>
        </w:tc>
        <w:tc>
          <w:tcPr>
            <w:tcW w:w="3538" w:type="dxa"/>
            <w:shd w:val="clear" w:color="auto" w:fill="EAF3F4"/>
            <w:tcMar>
              <w:top w:w="55" w:type="dxa"/>
              <w:left w:w="55" w:type="dxa"/>
              <w:bottom w:w="50" w:type="dxa"/>
              <w:right w:w="55" w:type="dxa"/>
            </w:tcMar>
          </w:tcPr>
          <w:p w14:paraId="0D09063C" w14:textId="77777777" w:rsidR="00072F38" w:rsidRPr="00C343B9" w:rsidRDefault="00000000">
            <w:pPr>
              <w:spacing w:after="40"/>
              <w:rPr>
                <w:sz w:val="22"/>
                <w:szCs w:val="28"/>
              </w:rPr>
            </w:pPr>
            <w:r w:rsidRPr="00C343B9">
              <w:rPr>
                <w:b/>
                <w:color w:val="123F50"/>
                <w:sz w:val="20"/>
                <w:szCs w:val="28"/>
              </w:rPr>
              <w:t>Reflection note</w:t>
            </w:r>
          </w:p>
          <w:p w14:paraId="2E40F47B" w14:textId="77777777" w:rsidR="00072F38" w:rsidRPr="00C343B9" w:rsidRDefault="00000000">
            <w:pPr>
              <w:spacing w:after="0" w:line="252" w:lineRule="auto"/>
              <w:rPr>
                <w:sz w:val="22"/>
                <w:szCs w:val="28"/>
              </w:rPr>
            </w:pPr>
            <w:r w:rsidRPr="00C343B9">
              <w:rPr>
                <w:color w:val="5B5750"/>
                <w:szCs w:val="28"/>
              </w:rPr>
              <w:t>One page on "what I missed first" / "what changed my judgment" / "what I still do not know."</w:t>
            </w:r>
          </w:p>
        </w:tc>
        <w:tc>
          <w:tcPr>
            <w:tcW w:w="3538" w:type="dxa"/>
            <w:shd w:val="clear" w:color="auto" w:fill="EAF3F4"/>
            <w:tcMar>
              <w:top w:w="55" w:type="dxa"/>
              <w:left w:w="55" w:type="dxa"/>
              <w:bottom w:w="50" w:type="dxa"/>
              <w:right w:w="55" w:type="dxa"/>
            </w:tcMar>
          </w:tcPr>
          <w:p w14:paraId="0CEFCD81" w14:textId="77777777" w:rsidR="00072F38" w:rsidRPr="00C343B9" w:rsidRDefault="00000000">
            <w:pPr>
              <w:spacing w:after="40"/>
              <w:rPr>
                <w:sz w:val="22"/>
                <w:szCs w:val="28"/>
              </w:rPr>
            </w:pPr>
            <w:r w:rsidRPr="00C343B9">
              <w:rPr>
                <w:b/>
                <w:color w:val="123F50"/>
                <w:sz w:val="20"/>
                <w:szCs w:val="28"/>
              </w:rPr>
              <w:t>Drift-pattern tracker</w:t>
            </w:r>
          </w:p>
          <w:p w14:paraId="66AB97E4" w14:textId="77777777" w:rsidR="00072F38" w:rsidRPr="00C343B9" w:rsidRDefault="00000000">
            <w:pPr>
              <w:spacing w:after="0" w:line="252" w:lineRule="auto"/>
              <w:rPr>
                <w:sz w:val="22"/>
                <w:szCs w:val="28"/>
              </w:rPr>
            </w:pPr>
            <w:r w:rsidRPr="00C343B9">
              <w:rPr>
                <w:color w:val="5B5750"/>
                <w:szCs w:val="28"/>
              </w:rPr>
              <w:t>A recurring note on patterns such as sloganizing, one-lens capture, process substitution, committee fog, or blame theater.</w:t>
            </w:r>
          </w:p>
        </w:tc>
      </w:tr>
      <w:tr w:rsidR="00072F38" w:rsidRPr="00C343B9" w14:paraId="61256C86" w14:textId="77777777">
        <w:trPr>
          <w:trHeight w:val="520"/>
          <w:jc w:val="center"/>
        </w:trPr>
        <w:tc>
          <w:tcPr>
            <w:tcW w:w="3538" w:type="dxa"/>
            <w:shd w:val="clear" w:color="auto" w:fill="FFFFFF"/>
            <w:tcMar>
              <w:top w:w="55" w:type="dxa"/>
              <w:left w:w="55" w:type="dxa"/>
              <w:bottom w:w="50" w:type="dxa"/>
              <w:right w:w="55" w:type="dxa"/>
            </w:tcMar>
          </w:tcPr>
          <w:p w14:paraId="6CADD645" w14:textId="77777777" w:rsidR="00072F38" w:rsidRPr="00C343B9" w:rsidRDefault="00000000">
            <w:pPr>
              <w:spacing w:after="40"/>
              <w:rPr>
                <w:sz w:val="22"/>
                <w:szCs w:val="28"/>
              </w:rPr>
            </w:pPr>
            <w:r w:rsidRPr="00C343B9">
              <w:rPr>
                <w:b/>
                <w:color w:val="123F50"/>
                <w:sz w:val="20"/>
                <w:szCs w:val="28"/>
              </w:rPr>
              <w:t>Calibration set</w:t>
            </w:r>
          </w:p>
          <w:p w14:paraId="64020755" w14:textId="77777777" w:rsidR="00072F38" w:rsidRPr="00C343B9" w:rsidRDefault="00000000">
            <w:pPr>
              <w:spacing w:after="0" w:line="252" w:lineRule="auto"/>
              <w:rPr>
                <w:sz w:val="22"/>
                <w:szCs w:val="28"/>
              </w:rPr>
            </w:pPr>
            <w:r w:rsidRPr="00C343B9">
              <w:rPr>
                <w:color w:val="5B5750"/>
                <w:szCs w:val="28"/>
              </w:rPr>
              <w:t>Two or three cases that are periodically re-read to notice whether interpretations are becoming more careful, narrower, or more ritualized.</w:t>
            </w:r>
          </w:p>
        </w:tc>
        <w:tc>
          <w:tcPr>
            <w:tcW w:w="3538" w:type="dxa"/>
            <w:shd w:val="clear" w:color="auto" w:fill="FFFFFF"/>
            <w:tcMar>
              <w:top w:w="55" w:type="dxa"/>
              <w:left w:w="55" w:type="dxa"/>
              <w:bottom w:w="50" w:type="dxa"/>
              <w:right w:w="55" w:type="dxa"/>
            </w:tcMar>
          </w:tcPr>
          <w:p w14:paraId="3CE021DE" w14:textId="77777777" w:rsidR="00072F38" w:rsidRPr="00C343B9" w:rsidRDefault="00000000">
            <w:pPr>
              <w:spacing w:after="40"/>
              <w:rPr>
                <w:sz w:val="22"/>
                <w:szCs w:val="28"/>
              </w:rPr>
            </w:pPr>
            <w:r w:rsidRPr="00C343B9">
              <w:rPr>
                <w:b/>
                <w:color w:val="123F50"/>
                <w:sz w:val="20"/>
                <w:szCs w:val="28"/>
              </w:rPr>
              <w:t>Facilitator note</w:t>
            </w:r>
          </w:p>
          <w:p w14:paraId="7D802141" w14:textId="77777777" w:rsidR="00072F38" w:rsidRPr="00C343B9" w:rsidRDefault="00000000">
            <w:pPr>
              <w:spacing w:after="0" w:line="252" w:lineRule="auto"/>
              <w:rPr>
                <w:sz w:val="22"/>
                <w:szCs w:val="28"/>
              </w:rPr>
            </w:pPr>
            <w:r w:rsidRPr="00C343B9">
              <w:rPr>
                <w:color w:val="5B5750"/>
                <w:szCs w:val="28"/>
              </w:rPr>
              <w:t>What the exercise surfaced, what stayed suppressed, and what would make the next round safer or more honest.</w:t>
            </w:r>
          </w:p>
        </w:tc>
        <w:tc>
          <w:tcPr>
            <w:tcW w:w="3538" w:type="dxa"/>
            <w:shd w:val="clear" w:color="auto" w:fill="FFF3DD"/>
            <w:tcMar>
              <w:top w:w="55" w:type="dxa"/>
              <w:left w:w="55" w:type="dxa"/>
              <w:bottom w:w="50" w:type="dxa"/>
              <w:right w:w="55" w:type="dxa"/>
            </w:tcMar>
          </w:tcPr>
          <w:p w14:paraId="3788B220" w14:textId="77777777" w:rsidR="00072F38" w:rsidRPr="00C343B9" w:rsidRDefault="00000000">
            <w:pPr>
              <w:spacing w:after="40"/>
              <w:rPr>
                <w:sz w:val="22"/>
                <w:szCs w:val="28"/>
              </w:rPr>
            </w:pPr>
            <w:r w:rsidRPr="00C343B9">
              <w:rPr>
                <w:b/>
                <w:color w:val="123F50"/>
                <w:sz w:val="20"/>
                <w:szCs w:val="28"/>
              </w:rPr>
              <w:t>Reminder</w:t>
            </w:r>
          </w:p>
          <w:p w14:paraId="122644AD" w14:textId="77777777" w:rsidR="00072F38" w:rsidRPr="00C343B9" w:rsidRDefault="00000000">
            <w:pPr>
              <w:spacing w:after="0" w:line="252" w:lineRule="auto"/>
              <w:rPr>
                <w:sz w:val="22"/>
                <w:szCs w:val="28"/>
              </w:rPr>
            </w:pPr>
            <w:r w:rsidRPr="00C343B9">
              <w:rPr>
                <w:color w:val="5B5750"/>
                <w:szCs w:val="28"/>
              </w:rPr>
              <w:t>These artifacts are optional supports for ethical memory and revisability, not tools for ranking people.</w:t>
            </w:r>
          </w:p>
        </w:tc>
      </w:tr>
    </w:tbl>
    <w:p w14:paraId="73C13C0D" w14:textId="77777777" w:rsidR="00072F38" w:rsidRPr="00C343B9" w:rsidRDefault="00000000">
      <w:pPr>
        <w:spacing w:before="100" w:after="80"/>
        <w:rPr>
          <w:sz w:val="22"/>
          <w:szCs w:val="28"/>
        </w:rPr>
      </w:pPr>
      <w:r w:rsidRPr="00C343B9">
        <w:rPr>
          <w:b/>
          <w:color w:val="164E63"/>
          <w:sz w:val="20"/>
          <w:szCs w:val="28"/>
        </w:rPr>
        <w:t>4. FACILITATOR CAUTIONS / WHEN NOT ENOUGH</w:t>
      </w:r>
    </w:p>
    <w:tbl>
      <w:tblPr>
        <w:tblW w:w="0" w:type="auto"/>
        <w:jc w:val="center"/>
        <w:tblBorders>
          <w:top w:val="single" w:sz="7" w:space="0" w:color="E8E2D6"/>
          <w:left w:val="single" w:sz="7" w:space="0" w:color="E8E2D6"/>
          <w:bottom w:val="single" w:sz="7" w:space="0" w:color="E8E2D6"/>
          <w:right w:val="single" w:sz="7" w:space="0" w:color="E8E2D6"/>
          <w:insideH w:val="single" w:sz="7" w:space="0" w:color="E8E2D6"/>
          <w:insideV w:val="single" w:sz="7" w:space="0" w:color="E8E2D6"/>
        </w:tblBorders>
        <w:tblLayout w:type="fixed"/>
        <w:tblLook w:val="04A0" w:firstRow="1" w:lastRow="0" w:firstColumn="1" w:lastColumn="0" w:noHBand="0" w:noVBand="1"/>
      </w:tblPr>
      <w:tblGrid>
        <w:gridCol w:w="5306"/>
        <w:gridCol w:w="5307"/>
      </w:tblGrid>
      <w:tr w:rsidR="00072F38" w:rsidRPr="00C343B9" w14:paraId="4D8B47A5" w14:textId="77777777">
        <w:trPr>
          <w:jc w:val="center"/>
        </w:trPr>
        <w:tc>
          <w:tcPr>
            <w:tcW w:w="5306" w:type="dxa"/>
            <w:shd w:val="clear" w:color="auto" w:fill="123F50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5729A3BA" w14:textId="77777777" w:rsidR="00072F38" w:rsidRPr="00C343B9" w:rsidRDefault="00000000">
            <w:pPr>
              <w:spacing w:after="0" w:line="259" w:lineRule="auto"/>
              <w:jc w:val="center"/>
              <w:rPr>
                <w:sz w:val="22"/>
                <w:szCs w:val="28"/>
              </w:rPr>
            </w:pPr>
            <w:r w:rsidRPr="00C343B9">
              <w:rPr>
                <w:b/>
                <w:color w:val="FFFFFF"/>
                <w:sz w:val="20"/>
                <w:szCs w:val="28"/>
              </w:rPr>
              <w:t>Facilitator cautions</w:t>
            </w:r>
          </w:p>
        </w:tc>
        <w:tc>
          <w:tcPr>
            <w:tcW w:w="5306" w:type="dxa"/>
            <w:shd w:val="clear" w:color="auto" w:fill="123F50"/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737AEAB6" w14:textId="77777777" w:rsidR="00072F38" w:rsidRPr="00C343B9" w:rsidRDefault="00000000">
            <w:pPr>
              <w:spacing w:after="0" w:line="259" w:lineRule="auto"/>
              <w:jc w:val="center"/>
              <w:rPr>
                <w:sz w:val="22"/>
                <w:szCs w:val="28"/>
              </w:rPr>
            </w:pPr>
            <w:r w:rsidRPr="00C343B9">
              <w:rPr>
                <w:b/>
                <w:color w:val="FFFFFF"/>
                <w:sz w:val="20"/>
                <w:szCs w:val="28"/>
              </w:rPr>
              <w:t>When these materials are not enough</w:t>
            </w:r>
          </w:p>
        </w:tc>
      </w:tr>
      <w:tr w:rsidR="00072F38" w:rsidRPr="00C343B9" w14:paraId="6611E0AA" w14:textId="77777777">
        <w:trPr>
          <w:jc w:val="center"/>
        </w:trPr>
        <w:tc>
          <w:tcPr>
            <w:tcW w:w="5306" w:type="dxa"/>
            <w:shd w:val="clear" w:color="auto" w:fill="FFFFFF"/>
            <w:tcMar>
              <w:top w:w="65" w:type="dxa"/>
              <w:left w:w="80" w:type="dxa"/>
              <w:bottom w:w="65" w:type="dxa"/>
              <w:right w:w="80" w:type="dxa"/>
            </w:tcMar>
          </w:tcPr>
          <w:p w14:paraId="734864C6" w14:textId="77777777" w:rsidR="00072F38" w:rsidRPr="00C343B9" w:rsidRDefault="00000000">
            <w:pPr>
              <w:spacing w:after="20" w:line="240" w:lineRule="auto"/>
              <w:rPr>
                <w:sz w:val="22"/>
                <w:szCs w:val="28"/>
              </w:rPr>
            </w:pPr>
            <w:r w:rsidRPr="00C343B9">
              <w:rPr>
                <w:szCs w:val="28"/>
              </w:rPr>
              <w:t>• a smooth workshop may still hide the absence of contestability</w:t>
            </w:r>
          </w:p>
          <w:p w14:paraId="3B4EE5FC" w14:textId="77777777" w:rsidR="00072F38" w:rsidRPr="00C343B9" w:rsidRDefault="00000000">
            <w:pPr>
              <w:spacing w:after="20" w:line="240" w:lineRule="auto"/>
              <w:rPr>
                <w:sz w:val="22"/>
                <w:szCs w:val="28"/>
              </w:rPr>
            </w:pPr>
            <w:r w:rsidRPr="00C343B9">
              <w:rPr>
                <w:szCs w:val="28"/>
              </w:rPr>
              <w:t>• a polished answer may still be weak reasoning</w:t>
            </w:r>
          </w:p>
          <w:p w14:paraId="5CD9B74E" w14:textId="77777777" w:rsidR="00072F38" w:rsidRPr="00C343B9" w:rsidRDefault="00000000">
            <w:pPr>
              <w:spacing w:after="20" w:line="240" w:lineRule="auto"/>
              <w:rPr>
                <w:sz w:val="22"/>
                <w:szCs w:val="28"/>
              </w:rPr>
            </w:pPr>
            <w:r w:rsidRPr="00C343B9">
              <w:rPr>
                <w:szCs w:val="28"/>
              </w:rPr>
              <w:t>• repeated use of the same case type can narrow moral imagination</w:t>
            </w:r>
          </w:p>
          <w:p w14:paraId="275A2579" w14:textId="77777777" w:rsidR="00072F38" w:rsidRPr="00C343B9" w:rsidRDefault="00000000">
            <w:pPr>
              <w:spacing w:after="20" w:line="240" w:lineRule="auto"/>
              <w:rPr>
                <w:sz w:val="22"/>
                <w:szCs w:val="28"/>
              </w:rPr>
            </w:pPr>
            <w:r w:rsidRPr="00C343B9">
              <w:rPr>
                <w:szCs w:val="28"/>
              </w:rPr>
              <w:t>• low-power participants may notice harms the training design itself makes hard to say</w:t>
            </w:r>
          </w:p>
          <w:p w14:paraId="485C4948" w14:textId="77777777" w:rsidR="00072F38" w:rsidRPr="00C343B9" w:rsidRDefault="00000000">
            <w:pPr>
              <w:spacing w:after="20" w:line="240" w:lineRule="auto"/>
              <w:rPr>
                <w:sz w:val="22"/>
                <w:szCs w:val="28"/>
              </w:rPr>
            </w:pPr>
            <w:r w:rsidRPr="00C343B9">
              <w:rPr>
                <w:szCs w:val="28"/>
              </w:rPr>
              <w:t>• confidentiality and safest-useful-specificity matter more than completeness</w:t>
            </w:r>
          </w:p>
          <w:p w14:paraId="17741D16" w14:textId="77777777" w:rsidR="00072F38" w:rsidRPr="00C343B9" w:rsidRDefault="00000000">
            <w:pPr>
              <w:spacing w:after="20" w:line="240" w:lineRule="auto"/>
              <w:rPr>
                <w:sz w:val="22"/>
                <w:szCs w:val="28"/>
              </w:rPr>
            </w:pPr>
            <w:r w:rsidRPr="00C343B9">
              <w:rPr>
                <w:szCs w:val="28"/>
              </w:rPr>
              <w:t>• a curriculum that cannot itself be revised may quietly train rigidity rather than judgment</w:t>
            </w:r>
          </w:p>
        </w:tc>
        <w:tc>
          <w:tcPr>
            <w:tcW w:w="5306" w:type="dxa"/>
            <w:shd w:val="clear" w:color="auto" w:fill="FFFFFF"/>
            <w:tcMar>
              <w:top w:w="65" w:type="dxa"/>
              <w:left w:w="80" w:type="dxa"/>
              <w:bottom w:w="65" w:type="dxa"/>
              <w:right w:w="80" w:type="dxa"/>
            </w:tcMar>
          </w:tcPr>
          <w:p w14:paraId="5C8C84DF" w14:textId="77777777" w:rsidR="00072F38" w:rsidRPr="00C343B9" w:rsidRDefault="00000000">
            <w:pPr>
              <w:spacing w:after="40" w:line="240" w:lineRule="auto"/>
              <w:rPr>
                <w:sz w:val="22"/>
                <w:szCs w:val="28"/>
              </w:rPr>
            </w:pPr>
            <w:r w:rsidRPr="00C343B9">
              <w:rPr>
                <w:szCs w:val="28"/>
              </w:rPr>
              <w:t>• dignity-of-awareness risks are plausibly severe</w:t>
            </w:r>
          </w:p>
          <w:p w14:paraId="15D23B7A" w14:textId="77777777" w:rsidR="00072F38" w:rsidRPr="00C343B9" w:rsidRDefault="00000000">
            <w:pPr>
              <w:spacing w:after="40" w:line="240" w:lineRule="auto"/>
              <w:rPr>
                <w:sz w:val="22"/>
                <w:szCs w:val="28"/>
              </w:rPr>
            </w:pPr>
            <w:r w:rsidRPr="00C343B9">
              <w:rPr>
                <w:szCs w:val="28"/>
              </w:rPr>
              <w:t>• reversibility is low</w:t>
            </w:r>
          </w:p>
          <w:p w14:paraId="3D407057" w14:textId="77777777" w:rsidR="00072F38" w:rsidRPr="00C343B9" w:rsidRDefault="00000000">
            <w:pPr>
              <w:spacing w:after="40" w:line="240" w:lineRule="auto"/>
              <w:rPr>
                <w:sz w:val="22"/>
                <w:szCs w:val="28"/>
              </w:rPr>
            </w:pPr>
            <w:r w:rsidRPr="00C343B9">
              <w:rPr>
                <w:szCs w:val="28"/>
              </w:rPr>
              <w:t>• empirical or technical assumptions are carrying most of the conclusion</w:t>
            </w:r>
          </w:p>
          <w:p w14:paraId="6C229C35" w14:textId="77777777" w:rsidR="00072F38" w:rsidRPr="00C343B9" w:rsidRDefault="00000000">
            <w:pPr>
              <w:spacing w:after="40" w:line="240" w:lineRule="auto"/>
              <w:rPr>
                <w:sz w:val="22"/>
                <w:szCs w:val="28"/>
              </w:rPr>
            </w:pPr>
            <w:r w:rsidRPr="00C343B9">
              <w:rPr>
                <w:szCs w:val="28"/>
              </w:rPr>
              <w:t>• many affected parties have limited voice, exit, or recourse</w:t>
            </w:r>
          </w:p>
          <w:p w14:paraId="06CF9EF5" w14:textId="77777777" w:rsidR="00072F38" w:rsidRPr="00C343B9" w:rsidRDefault="00000000">
            <w:pPr>
              <w:spacing w:after="40" w:line="240" w:lineRule="auto"/>
              <w:rPr>
                <w:sz w:val="22"/>
                <w:szCs w:val="28"/>
              </w:rPr>
            </w:pPr>
            <w:r w:rsidRPr="00C343B9">
              <w:rPr>
                <w:szCs w:val="28"/>
              </w:rPr>
              <w:t>• the organization is under incentives likely to turn training into performance</w:t>
            </w:r>
          </w:p>
        </w:tc>
      </w:tr>
      <w:tr w:rsidR="00072F38" w:rsidRPr="00C343B9" w14:paraId="1EEA64D5" w14:textId="77777777">
        <w:trPr>
          <w:jc w:val="center"/>
        </w:trPr>
        <w:tc>
          <w:tcPr>
            <w:tcW w:w="10613" w:type="dxa"/>
            <w:gridSpan w:val="2"/>
            <w:shd w:val="clear" w:color="auto" w:fill="F7F3EA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56E4B46C" w14:textId="77777777" w:rsidR="00072F38" w:rsidRPr="00C343B9" w:rsidRDefault="00000000">
            <w:pPr>
              <w:spacing w:after="0" w:line="259" w:lineRule="auto"/>
              <w:rPr>
                <w:sz w:val="22"/>
                <w:szCs w:val="28"/>
              </w:rPr>
            </w:pPr>
            <w:r w:rsidRPr="00C343B9">
              <w:rPr>
                <w:b/>
                <w:color w:val="8A5A12"/>
                <w:sz w:val="20"/>
                <w:szCs w:val="28"/>
              </w:rPr>
              <w:t xml:space="preserve">Closing note: </w:t>
            </w:r>
            <w:r w:rsidRPr="00C343B9">
              <w:rPr>
                <w:sz w:val="20"/>
                <w:szCs w:val="28"/>
              </w:rPr>
              <w:t>In some settings, one well-chosen exercise may be the better fit. Even well-run exercises do not replace governance, technical assurance, contestation, or repair.</w:t>
            </w:r>
          </w:p>
        </w:tc>
      </w:tr>
    </w:tbl>
    <w:p w14:paraId="212B11CD" w14:textId="77777777" w:rsidR="005F6EE0" w:rsidRPr="00C343B9" w:rsidRDefault="005F6EE0">
      <w:pPr>
        <w:rPr>
          <w:sz w:val="22"/>
          <w:szCs w:val="28"/>
        </w:rPr>
      </w:pPr>
    </w:p>
    <w:sectPr w:rsidR="005F6EE0" w:rsidRPr="00C343B9" w:rsidSect="00034616">
      <w:footerReference w:type="default" r:id="rId8"/>
      <w:pgSz w:w="11909" w:h="16834"/>
      <w:pgMar w:top="605" w:right="648" w:bottom="547" w:left="6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26FEB" w14:textId="77777777" w:rsidR="00010F1D" w:rsidRDefault="00010F1D">
      <w:pPr>
        <w:spacing w:after="0" w:line="240" w:lineRule="auto"/>
      </w:pPr>
      <w:r>
        <w:separator/>
      </w:r>
    </w:p>
  </w:endnote>
  <w:endnote w:type="continuationSeparator" w:id="0">
    <w:p w14:paraId="3DF1E951" w14:textId="77777777" w:rsidR="00010F1D" w:rsidRDefault="00010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9D302" w14:textId="6CEB2D28" w:rsidR="00072F38" w:rsidRPr="00C343B9" w:rsidRDefault="00C343B9" w:rsidP="00C343B9">
    <w:pPr>
      <w:pStyle w:val="Footer"/>
    </w:pPr>
    <w:r>
      <w:rPr>
        <w:color w:val="5B5750"/>
      </w:rPr>
      <w:t>© 2026 Emad Sadeghipour - Potentialism Framework - CC BY-NC 4.0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3BB5F" w14:textId="77777777" w:rsidR="00010F1D" w:rsidRDefault="00010F1D">
      <w:pPr>
        <w:spacing w:after="0" w:line="240" w:lineRule="auto"/>
      </w:pPr>
      <w:r>
        <w:separator/>
      </w:r>
    </w:p>
  </w:footnote>
  <w:footnote w:type="continuationSeparator" w:id="0">
    <w:p w14:paraId="3648B6D6" w14:textId="77777777" w:rsidR="00010F1D" w:rsidRDefault="00010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3758423">
    <w:abstractNumId w:val="8"/>
  </w:num>
  <w:num w:numId="2" w16cid:durableId="493685563">
    <w:abstractNumId w:val="6"/>
  </w:num>
  <w:num w:numId="3" w16cid:durableId="883172996">
    <w:abstractNumId w:val="5"/>
  </w:num>
  <w:num w:numId="4" w16cid:durableId="1498378876">
    <w:abstractNumId w:val="4"/>
  </w:num>
  <w:num w:numId="5" w16cid:durableId="144707034">
    <w:abstractNumId w:val="7"/>
  </w:num>
  <w:num w:numId="6" w16cid:durableId="1402213746">
    <w:abstractNumId w:val="3"/>
  </w:num>
  <w:num w:numId="7" w16cid:durableId="883836869">
    <w:abstractNumId w:val="2"/>
  </w:num>
  <w:num w:numId="8" w16cid:durableId="528104074">
    <w:abstractNumId w:val="1"/>
  </w:num>
  <w:num w:numId="9" w16cid:durableId="1393000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0F1D"/>
    <w:rsid w:val="00034616"/>
    <w:rsid w:val="0006063C"/>
    <w:rsid w:val="00072F38"/>
    <w:rsid w:val="0015074B"/>
    <w:rsid w:val="0029639D"/>
    <w:rsid w:val="00326F90"/>
    <w:rsid w:val="005F6EE0"/>
    <w:rsid w:val="007C3340"/>
    <w:rsid w:val="008C1A2B"/>
    <w:rsid w:val="00AA1D8D"/>
    <w:rsid w:val="00B47730"/>
    <w:rsid w:val="00C22707"/>
    <w:rsid w:val="00C343B9"/>
    <w:rsid w:val="00CB0664"/>
    <w:rsid w:val="00F5431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DCFA58"/>
  <w14:defaultImageDpi w14:val="300"/>
  <w15:docId w15:val="{2C086901-5AC3-490B-84A3-BA7DA58E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  <w:color w:val="1D1D1F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 v2.0 Facilitation Guide</dc:title>
  <dc:subject>Brief facilitation worksheet for Potentialism Framework v2.0</dc:subject>
  <dc:creator>Emad Sadeghipour &amp; AI Systems</dc:creator>
  <cp:keywords/>
  <dc:description>Based on Potentialism Framework v2.0, Appendix D.6-D.9.</dc:description>
  <cp:lastModifiedBy>Dr. Emad Sadeghipour</cp:lastModifiedBy>
  <cp:revision>4</cp:revision>
  <dcterms:created xsi:type="dcterms:W3CDTF">2013-12-23T23:15:00Z</dcterms:created>
  <dcterms:modified xsi:type="dcterms:W3CDTF">2026-05-16T08:27:00Z</dcterms:modified>
  <cp:category/>
</cp:coreProperties>
</file>